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2A0DDE65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4A5506">
        <w:rPr>
          <w:b/>
        </w:rPr>
        <w:t>0252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4A5506">
        <w:rPr>
          <w:b/>
        </w:rPr>
        <w:t>Повторные испытания. Испытания шифрованных образцов. Корреляция результатов для различных характеристик образца и внутрилабораторные сличения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4A5506">
        <w:rPr>
          <w:b/>
        </w:rPr>
        <w:t>08.12.2025</w:t>
      </w:r>
      <w:r w:rsidR="007F6949" w:rsidRPr="00794A30">
        <w:rPr>
          <w:b/>
        </w:rPr>
        <w:t xml:space="preserve"> по </w:t>
      </w:r>
      <w:r w:rsidR="004A5506">
        <w:rPr>
          <w:b/>
        </w:rPr>
        <w:t>09.12.2025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A5506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317A2-62A2-4597-8541-62910ECFA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2024-12-19T17:13:00Z</dcterms:created>
  <dcterms:modified xsi:type="dcterms:W3CDTF">2024-12-19T17:13:00Z</dcterms:modified>
</cp:coreProperties>
</file>